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35E" w:rsidRPr="0076035E" w:rsidRDefault="0076035E" w:rsidP="0076035E">
      <w:pPr>
        <w:pBdr>
          <w:bottom w:val="single" w:sz="6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noProof/>
          <w:sz w:val="24"/>
          <w:lang w:eastAsia="en-US"/>
        </w:rPr>
      </w:pPr>
      <w:r w:rsidRPr="0076035E">
        <w:rPr>
          <w:rFonts w:ascii="Arial" w:eastAsia="等线" w:hAnsi="Arial" w:cs="Arial"/>
          <w:b/>
          <w:noProof/>
          <w:sz w:val="24"/>
          <w:lang w:eastAsia="en-US"/>
        </w:rPr>
        <w:t>SA WG2 Meeting #S2-169</w:t>
      </w:r>
      <w:r w:rsidRPr="0076035E">
        <w:rPr>
          <w:rFonts w:ascii="Arial" w:eastAsia="等线" w:hAnsi="Arial" w:cs="Arial"/>
          <w:b/>
          <w:noProof/>
          <w:sz w:val="24"/>
          <w:lang w:eastAsia="en-US"/>
        </w:rPr>
        <w:tab/>
        <w:t>S2-250</w:t>
      </w:r>
      <w:r w:rsidR="00301474">
        <w:rPr>
          <w:rFonts w:ascii="Arial" w:eastAsia="等线" w:hAnsi="Arial" w:cs="Arial"/>
          <w:b/>
          <w:noProof/>
          <w:sz w:val="24"/>
          <w:lang w:eastAsia="en-US"/>
        </w:rPr>
        <w:t>4939</w:t>
      </w:r>
    </w:p>
    <w:p w:rsidR="0076035E" w:rsidRPr="0076035E" w:rsidRDefault="0076035E" w:rsidP="0076035E">
      <w:pPr>
        <w:pBdr>
          <w:bottom w:val="single" w:sz="6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bCs/>
          <w:sz w:val="24"/>
          <w:szCs w:val="24"/>
          <w:lang w:eastAsia="en-US"/>
        </w:rPr>
      </w:pPr>
      <w:r w:rsidRPr="0076035E">
        <w:rPr>
          <w:rFonts w:ascii="Arial" w:eastAsia="等线" w:hAnsi="Arial" w:cs="Arial"/>
          <w:b/>
          <w:noProof/>
          <w:sz w:val="24"/>
          <w:lang w:eastAsia="en-US"/>
        </w:rPr>
        <w:t>19 - 23 May, 2025, Fukuoka, Japan</w:t>
      </w:r>
    </w:p>
    <w:p w:rsidR="0076035E" w:rsidRPr="0076035E" w:rsidRDefault="0076035E" w:rsidP="0076035E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en-US"/>
        </w:rPr>
      </w:pPr>
    </w:p>
    <w:p w:rsidR="009A638B" w:rsidRDefault="00E02DF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6035E" w:rsidRPr="0076035E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6035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Average Window for Alternative QoS</w:t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35E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76035E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="0076035E">
        <w:rPr>
          <w:rFonts w:ascii="Arial" w:hAnsi="Arial" w:cs="Arial"/>
          <w:b/>
          <w:bCs/>
          <w:sz w:val="22"/>
          <w:szCs w:val="22"/>
        </w:rPr>
        <w:t>2504520/ R3-252397</w:t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5FD1">
        <w:rPr>
          <w:rFonts w:ascii="Arial" w:hAnsi="Arial" w:cs="Arial" w:hint="eastAsia"/>
          <w:b/>
          <w:bCs/>
          <w:sz w:val="22"/>
          <w:szCs w:val="22"/>
          <w:lang w:eastAsia="zh-CN"/>
        </w:rPr>
        <w:t>XRM</w:t>
      </w:r>
      <w:bookmarkStart w:id="5" w:name="_GoBack"/>
      <w:bookmarkEnd w:id="5"/>
    </w:p>
    <w:p w:rsidR="009A638B" w:rsidRDefault="009A63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A638B" w:rsidRDefault="00E02DF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6035E">
        <w:rPr>
          <w:rFonts w:ascii="Arial" w:hAnsi="Arial" w:cs="Arial"/>
          <w:b/>
          <w:sz w:val="22"/>
          <w:szCs w:val="22"/>
          <w:lang w:eastAsia="zh-CN"/>
        </w:rPr>
        <w:t xml:space="preserve">SA2 </w:t>
      </w:r>
      <w:r w:rsidR="0076035E" w:rsidRPr="0076035E">
        <w:rPr>
          <w:rFonts w:ascii="Arial" w:hAnsi="Arial" w:cs="Arial"/>
          <w:b/>
          <w:sz w:val="22"/>
          <w:szCs w:val="22"/>
          <w:highlight w:val="yellow"/>
          <w:lang w:eastAsia="zh-CN"/>
        </w:rPr>
        <w:t>(CATT)</w:t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35E">
        <w:rPr>
          <w:rFonts w:ascii="Arial" w:hAnsi="Arial" w:cs="Arial"/>
          <w:b/>
          <w:bCs/>
          <w:sz w:val="22"/>
          <w:szCs w:val="22"/>
        </w:rPr>
        <w:t>RAN3</w:t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s-ES" w:eastAsia="zh-CN"/>
        </w:rPr>
        <w:t>-</w:t>
      </w:r>
    </w:p>
    <w:bookmarkEnd w:id="6"/>
    <w:bookmarkEnd w:id="7"/>
    <w:p w:rsidR="009A638B" w:rsidRDefault="009A638B">
      <w:pPr>
        <w:spacing w:after="60"/>
        <w:ind w:left="1985" w:hanging="1985"/>
        <w:rPr>
          <w:rFonts w:ascii="Arial" w:hAnsi="Arial" w:cs="Arial"/>
          <w:bCs/>
        </w:rPr>
      </w:pP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35E">
        <w:rPr>
          <w:rFonts w:ascii="Arial" w:hAnsi="Arial" w:cs="Arial"/>
          <w:b/>
          <w:bCs/>
          <w:sz w:val="22"/>
          <w:szCs w:val="22"/>
          <w:lang w:eastAsia="zh-CN"/>
        </w:rPr>
        <w:t>Chunshan Xiong (chunshan.xiong@cictmobile.com)</w:t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9A638B" w:rsidRDefault="00E02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ff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A638B" w:rsidRDefault="009A638B">
      <w:pPr>
        <w:spacing w:after="60"/>
        <w:ind w:left="1985" w:hanging="1985"/>
        <w:rPr>
          <w:rFonts w:ascii="Arial" w:hAnsi="Arial" w:cs="Arial"/>
          <w:b/>
        </w:rPr>
      </w:pPr>
    </w:p>
    <w:p w:rsidR="009A638B" w:rsidRDefault="00E02DFF">
      <w:pPr>
        <w:spacing w:after="60"/>
        <w:ind w:left="1985" w:hanging="1985"/>
        <w:rPr>
          <w:rStyle w:val="affff0"/>
          <w:color w:val="auto"/>
          <w:u w:val="none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:rsidR="009A638B" w:rsidRDefault="00E02DFF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Overall description</w:t>
      </w:r>
    </w:p>
    <w:p w:rsidR="0076035E" w:rsidRDefault="0076035E" w:rsidP="0076035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RAN3, SA2 has the following answer for the LS:</w:t>
      </w:r>
    </w:p>
    <w:p w:rsidR="0076035E" w:rsidRDefault="0076035E" w:rsidP="0076035E">
      <w:pPr>
        <w:ind w:leftChars="200" w:left="400"/>
        <w:rPr>
          <w:lang w:val="en-US" w:eastAsia="zh-CN"/>
        </w:rPr>
      </w:pPr>
      <w:r>
        <w:rPr>
          <w:lang w:val="en-US" w:eastAsia="zh-CN"/>
        </w:rPr>
        <w:t>RAN3</w:t>
      </w:r>
      <w:r w:rsidRPr="00F264BA">
        <w:rPr>
          <w:lang w:val="en-US" w:eastAsia="zh-CN"/>
        </w:rPr>
        <w:t xml:space="preserve"> </w:t>
      </w:r>
      <w:r>
        <w:rPr>
          <w:lang w:val="en-US" w:eastAsia="zh-CN"/>
        </w:rPr>
        <w:t>could not reach consensus on introducing averaging window in the</w:t>
      </w:r>
      <w:r>
        <w:rPr>
          <w:rFonts w:hint="eastAsia"/>
          <w:lang w:val="en-US" w:eastAsia="zh-CN"/>
        </w:rPr>
        <w:t xml:space="preserve"> alternative QoS Profile,</w:t>
      </w:r>
      <w:r>
        <w:rPr>
          <w:lang w:val="en-US" w:eastAsia="zh-CN"/>
        </w:rPr>
        <w:t xml:space="preserve"> and respectfully requests SA2 to provide clarification on introducing averaging window in the</w:t>
      </w:r>
      <w:r>
        <w:rPr>
          <w:rFonts w:hint="eastAsia"/>
          <w:lang w:val="en-US" w:eastAsia="zh-CN"/>
        </w:rPr>
        <w:t xml:space="preserve"> alternative QoS Profile.</w:t>
      </w:r>
    </w:p>
    <w:p w:rsidR="009A638B" w:rsidRDefault="0076035E">
      <w:pPr>
        <w:rPr>
          <w:lang w:val="en-US" w:eastAsia="zh-CN"/>
        </w:rPr>
      </w:pPr>
      <w:r>
        <w:rPr>
          <w:lang w:val="en-US" w:eastAsia="zh-CN"/>
        </w:rPr>
        <w:t xml:space="preserve">[SA2 Answer:] </w:t>
      </w:r>
      <w:r w:rsidR="004F335E">
        <w:rPr>
          <w:lang w:val="en-US" w:eastAsia="zh-CN"/>
        </w:rPr>
        <w:t>The Understanding 2 is aligned with the averaging window of the AQP (alternative Q</w:t>
      </w:r>
      <w:r w:rsidR="004F335E">
        <w:rPr>
          <w:rFonts w:hint="eastAsia"/>
          <w:lang w:val="en-US" w:eastAsia="zh-CN"/>
        </w:rPr>
        <w:t>oS</w:t>
      </w:r>
      <w:r w:rsidR="004F335E">
        <w:rPr>
          <w:lang w:val="en-US" w:eastAsia="zh-CN"/>
        </w:rPr>
        <w:t xml:space="preserve"> Profile). </w:t>
      </w:r>
      <w:r w:rsidR="00065C6B">
        <w:rPr>
          <w:lang w:val="en-US" w:eastAsia="zh-CN"/>
        </w:rPr>
        <w:t xml:space="preserve">There are </w:t>
      </w:r>
      <w:r w:rsidR="00DB7246">
        <w:rPr>
          <w:lang w:val="en-US" w:eastAsia="zh-CN"/>
        </w:rPr>
        <w:t xml:space="preserve">a </w:t>
      </w:r>
      <w:r w:rsidR="00065C6B">
        <w:rPr>
          <w:lang w:val="en-US" w:eastAsia="zh-CN"/>
        </w:rPr>
        <w:t xml:space="preserve">lot of benefits to </w:t>
      </w:r>
      <w:r w:rsidR="00DB7246">
        <w:rPr>
          <w:lang w:val="en-US" w:eastAsia="zh-CN"/>
        </w:rPr>
        <w:t>introducing</w:t>
      </w:r>
      <w:r w:rsidR="00065C6B">
        <w:rPr>
          <w:lang w:val="en-US" w:eastAsia="zh-CN"/>
        </w:rPr>
        <w:t xml:space="preserve"> averaging window </w:t>
      </w:r>
      <w:r w:rsidR="00DB7246">
        <w:rPr>
          <w:lang w:val="en-US" w:eastAsia="zh-CN"/>
        </w:rPr>
        <w:t xml:space="preserve">with different values </w:t>
      </w:r>
      <w:r w:rsidR="00065C6B">
        <w:rPr>
          <w:lang w:val="en-US" w:eastAsia="zh-CN"/>
        </w:rPr>
        <w:t>in different AQP</w:t>
      </w:r>
      <w:r w:rsidR="00DB7246">
        <w:rPr>
          <w:lang w:val="en-US" w:eastAsia="zh-CN"/>
        </w:rPr>
        <w:t xml:space="preserve"> </w:t>
      </w:r>
      <w:r w:rsidR="00065C6B">
        <w:rPr>
          <w:lang w:val="en-US" w:eastAsia="zh-CN"/>
        </w:rPr>
        <w:t>(alternative Q</w:t>
      </w:r>
      <w:r w:rsidR="00065C6B">
        <w:rPr>
          <w:rFonts w:hint="eastAsia"/>
          <w:lang w:val="en-US" w:eastAsia="zh-CN"/>
        </w:rPr>
        <w:t>oS</w:t>
      </w:r>
      <w:r w:rsidR="00065C6B">
        <w:rPr>
          <w:lang w:val="en-US" w:eastAsia="zh-CN"/>
        </w:rPr>
        <w:t xml:space="preserve"> Profile). E.g.</w:t>
      </w:r>
      <w:r w:rsidR="00DB7246">
        <w:rPr>
          <w:lang w:val="en-US" w:eastAsia="zh-CN"/>
        </w:rPr>
        <w:t>,</w:t>
      </w:r>
      <w:r w:rsidR="00065C6B">
        <w:rPr>
          <w:lang w:val="en-US" w:eastAsia="zh-CN"/>
        </w:rPr>
        <w:t xml:space="preserve"> t</w:t>
      </w:r>
      <w:r>
        <w:rPr>
          <w:lang w:val="en-US" w:eastAsia="zh-CN"/>
        </w:rPr>
        <w:t xml:space="preserve">he different AQP can provide different GFBR and MFBR, and different GFBR and MFBR can be used by the different </w:t>
      </w:r>
      <w:r w:rsidR="00DB7246">
        <w:rPr>
          <w:lang w:val="en-US" w:eastAsia="zh-CN"/>
        </w:rPr>
        <w:t>codecs</w:t>
      </w:r>
      <w:r>
        <w:rPr>
          <w:lang w:val="en-US" w:eastAsia="zh-CN"/>
        </w:rPr>
        <w:t xml:space="preserve"> in the AS</w:t>
      </w:r>
      <w:r w:rsidR="00065C6B">
        <w:rPr>
          <w:lang w:val="en-US" w:eastAsia="zh-CN"/>
        </w:rPr>
        <w:t xml:space="preserve"> media</w:t>
      </w:r>
      <w:r>
        <w:rPr>
          <w:lang w:val="en-US" w:eastAsia="zh-CN"/>
        </w:rPr>
        <w:t xml:space="preserve">. </w:t>
      </w:r>
      <w:r w:rsidR="00065C6B">
        <w:rPr>
          <w:lang w:val="en-US" w:eastAsia="zh-CN"/>
        </w:rPr>
        <w:t>e.g.</w:t>
      </w:r>
      <w:r w:rsidR="00DB7246">
        <w:rPr>
          <w:lang w:val="en-US" w:eastAsia="zh-CN"/>
        </w:rPr>
        <w:t>,</w:t>
      </w:r>
      <w:r w:rsidR="00065C6B">
        <w:rPr>
          <w:lang w:val="en-US" w:eastAsia="zh-CN"/>
        </w:rPr>
        <w:t xml:space="preserve"> high FPS (</w:t>
      </w:r>
      <w:r w:rsidR="00DB7246">
        <w:rPr>
          <w:lang w:val="en-US" w:eastAsia="zh-CN"/>
        </w:rPr>
        <w:t>frames</w:t>
      </w:r>
      <w:r w:rsidR="00065C6B">
        <w:rPr>
          <w:lang w:val="en-US" w:eastAsia="zh-CN"/>
        </w:rPr>
        <w:t xml:space="preserve"> per Second) video (e.g.</w:t>
      </w:r>
      <w:r w:rsidR="00DB7246">
        <w:rPr>
          <w:lang w:val="en-US" w:eastAsia="zh-CN"/>
        </w:rPr>
        <w:t>,</w:t>
      </w:r>
      <w:r w:rsidR="00065C6B">
        <w:rPr>
          <w:lang w:val="en-US" w:eastAsia="zh-CN"/>
        </w:rPr>
        <w:t xml:space="preserve"> 120 FPS) normally needs more bitrate </w:t>
      </w:r>
      <w:r w:rsidR="00DB7246">
        <w:rPr>
          <w:lang w:val="en-US" w:eastAsia="zh-CN"/>
        </w:rPr>
        <w:t>than</w:t>
      </w:r>
      <w:r w:rsidR="00065C6B">
        <w:rPr>
          <w:lang w:val="en-US" w:eastAsia="zh-CN"/>
        </w:rPr>
        <w:t xml:space="preserve"> the low FPS video (e.g.</w:t>
      </w:r>
      <w:r w:rsidR="00DB7246">
        <w:rPr>
          <w:lang w:val="en-US" w:eastAsia="zh-CN"/>
        </w:rPr>
        <w:t>,</w:t>
      </w:r>
      <w:r w:rsidR="00065C6B">
        <w:rPr>
          <w:lang w:val="en-US" w:eastAsia="zh-CN"/>
        </w:rPr>
        <w:t xml:space="preserve"> 30 FPS). For the low 30 FPS video, </w:t>
      </w:r>
      <w:r w:rsidR="00DB7246">
        <w:rPr>
          <w:lang w:val="en-US" w:eastAsia="zh-CN"/>
        </w:rPr>
        <w:t xml:space="preserve">a </w:t>
      </w:r>
      <w:r w:rsidR="00065C6B">
        <w:rPr>
          <w:lang w:val="en-US" w:eastAsia="zh-CN"/>
        </w:rPr>
        <w:t xml:space="preserve">2000ms default averaging window can provide 60 times of measurement of GFBR/MFBR in the NG-RAN, but for the high 120 FPS video, the 60 times of measurement of GFBR/MFBR only need </w:t>
      </w:r>
      <w:r w:rsidR="00DB7246">
        <w:rPr>
          <w:lang w:val="en-US" w:eastAsia="zh-CN"/>
        </w:rPr>
        <w:t xml:space="preserve">a </w:t>
      </w:r>
      <w:r w:rsidR="00065C6B">
        <w:rPr>
          <w:lang w:val="en-US" w:eastAsia="zh-CN"/>
        </w:rPr>
        <w:t xml:space="preserve">500ms  averaging window. In such cases, the different FPS </w:t>
      </w:r>
      <w:r w:rsidR="00DB7246">
        <w:rPr>
          <w:lang w:val="en-US" w:eastAsia="zh-CN"/>
        </w:rPr>
        <w:t>videos</w:t>
      </w:r>
      <w:r w:rsidR="00065C6B">
        <w:rPr>
          <w:lang w:val="en-US" w:eastAsia="zh-CN"/>
        </w:rPr>
        <w:t xml:space="preserve"> can have different averaging </w:t>
      </w:r>
      <w:r w:rsidR="00DB7246">
        <w:rPr>
          <w:lang w:val="en-US" w:eastAsia="zh-CN"/>
        </w:rPr>
        <w:t>windows</w:t>
      </w:r>
      <w:r w:rsidR="00065C6B">
        <w:rPr>
          <w:lang w:val="en-US" w:eastAsia="zh-CN"/>
        </w:rPr>
        <w:t xml:space="preserve"> with the same measurement times for the GFBR and MFMR.</w:t>
      </w:r>
    </w:p>
    <w:p w:rsidR="00065C6B" w:rsidRDefault="00DB7246">
      <w:pPr>
        <w:rPr>
          <w:lang w:val="en-US" w:eastAsia="zh-CN"/>
        </w:rPr>
      </w:pPr>
      <w:r>
        <w:rPr>
          <w:lang w:val="en-US" w:eastAsia="zh-CN"/>
        </w:rPr>
        <w:t>The high</w:t>
      </w:r>
      <w:r w:rsidR="00065C6B">
        <w:rPr>
          <w:lang w:val="en-US" w:eastAsia="zh-CN"/>
        </w:rPr>
        <w:t xml:space="preserve"> FPS video can change more quickly </w:t>
      </w:r>
      <w:r>
        <w:rPr>
          <w:lang w:val="en-US" w:eastAsia="zh-CN"/>
        </w:rPr>
        <w:t>in codec, the short averaging window can provide QoS Notification message in more shorter time than the low FPS video (but with the same measure time of GFBR/MFBR) to the AS. In such a short averaging window for the high FPS can provide better adaptation to the bitrate changes in the NG-</w:t>
      </w:r>
      <w:r>
        <w:rPr>
          <w:rFonts w:hint="eastAsia"/>
          <w:lang w:val="en-US" w:eastAsia="zh-CN"/>
        </w:rPr>
        <w:t>RAN.</w:t>
      </w:r>
    </w:p>
    <w:p w:rsidR="0076035E" w:rsidRPr="000F4E43" w:rsidRDefault="0076035E" w:rsidP="0076035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76035E" w:rsidRPr="000F4E43" w:rsidRDefault="0076035E" w:rsidP="0076035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RAN3</w:t>
      </w:r>
    </w:p>
    <w:p w:rsidR="0076035E" w:rsidRDefault="0076035E" w:rsidP="0076035E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SA2 kindly asks RAN3 to take the above information into account and update the related TS.</w:t>
      </w:r>
      <w:r>
        <w:rPr>
          <w:rFonts w:ascii="Arial" w:hAnsi="Arial" w:cs="Arial"/>
          <w:b/>
        </w:rPr>
        <w:tab/>
      </w:r>
    </w:p>
    <w:p w:rsidR="0076035E" w:rsidRPr="000F4E43" w:rsidRDefault="0076035E" w:rsidP="0076035E">
      <w:pPr>
        <w:spacing w:after="120"/>
        <w:ind w:left="993" w:hanging="993"/>
        <w:rPr>
          <w:rFonts w:ascii="Arial" w:hAnsi="Arial" w:cs="Arial"/>
        </w:rPr>
      </w:pPr>
    </w:p>
    <w:p w:rsidR="0076035E" w:rsidRPr="000F4E43" w:rsidRDefault="0076035E" w:rsidP="0076035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76035E" w:rsidRDefault="0076035E" w:rsidP="007603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Goteborg, SE</w:t>
      </w:r>
    </w:p>
    <w:p w:rsidR="009A638B" w:rsidRPr="000B58B1" w:rsidRDefault="0076035E" w:rsidP="0076035E">
      <w:pPr>
        <w:rPr>
          <w:lang w:eastAsia="zh-CN"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sectPr w:rsidR="009A638B" w:rsidRPr="000B58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1FB" w:rsidRDefault="00BF31FB">
      <w:pPr>
        <w:spacing w:after="0"/>
      </w:pPr>
      <w:r>
        <w:separator/>
      </w:r>
    </w:p>
  </w:endnote>
  <w:endnote w:type="continuationSeparator" w:id="0">
    <w:p w:rsidR="00BF31FB" w:rsidRDefault="00BF3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1FB" w:rsidRDefault="00BF31FB">
      <w:pPr>
        <w:spacing w:after="0"/>
      </w:pPr>
      <w:r>
        <w:separator/>
      </w:r>
    </w:p>
  </w:footnote>
  <w:footnote w:type="continuationSeparator" w:id="0">
    <w:p w:rsidR="00BF31FB" w:rsidRDefault="00BF31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6C0F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5C6B"/>
    <w:rsid w:val="00066A6B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02B2"/>
    <w:rsid w:val="000A2B6C"/>
    <w:rsid w:val="000B02D6"/>
    <w:rsid w:val="000B4EFE"/>
    <w:rsid w:val="000B58B1"/>
    <w:rsid w:val="000B663A"/>
    <w:rsid w:val="000B6C8D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1290"/>
    <w:rsid w:val="00187438"/>
    <w:rsid w:val="001905E0"/>
    <w:rsid w:val="0019165A"/>
    <w:rsid w:val="001927D5"/>
    <w:rsid w:val="001A334D"/>
    <w:rsid w:val="001A6C68"/>
    <w:rsid w:val="001B2F65"/>
    <w:rsid w:val="001B634A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67F81"/>
    <w:rsid w:val="00271CF8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D1C83"/>
    <w:rsid w:val="002E1674"/>
    <w:rsid w:val="002E3871"/>
    <w:rsid w:val="002E4E20"/>
    <w:rsid w:val="002E66D6"/>
    <w:rsid w:val="002F1940"/>
    <w:rsid w:val="002F476E"/>
    <w:rsid w:val="002F660D"/>
    <w:rsid w:val="00301474"/>
    <w:rsid w:val="00304054"/>
    <w:rsid w:val="00306F56"/>
    <w:rsid w:val="00311755"/>
    <w:rsid w:val="00314220"/>
    <w:rsid w:val="00321F56"/>
    <w:rsid w:val="00336A7E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65BD8"/>
    <w:rsid w:val="00371CDD"/>
    <w:rsid w:val="00372295"/>
    <w:rsid w:val="00372F21"/>
    <w:rsid w:val="003804F1"/>
    <w:rsid w:val="00383545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24EB"/>
    <w:rsid w:val="003F4A9E"/>
    <w:rsid w:val="003F5DBB"/>
    <w:rsid w:val="003F7430"/>
    <w:rsid w:val="004126E5"/>
    <w:rsid w:val="00420403"/>
    <w:rsid w:val="004256C8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848FB"/>
    <w:rsid w:val="00496CF1"/>
    <w:rsid w:val="004A650F"/>
    <w:rsid w:val="004B0092"/>
    <w:rsid w:val="004B197E"/>
    <w:rsid w:val="004B2A22"/>
    <w:rsid w:val="004C3ABD"/>
    <w:rsid w:val="004C4DE9"/>
    <w:rsid w:val="004C6A90"/>
    <w:rsid w:val="004D064C"/>
    <w:rsid w:val="004D2B68"/>
    <w:rsid w:val="004D663B"/>
    <w:rsid w:val="004E25EC"/>
    <w:rsid w:val="004E2D3D"/>
    <w:rsid w:val="004E3939"/>
    <w:rsid w:val="004E636A"/>
    <w:rsid w:val="004F00E0"/>
    <w:rsid w:val="004F335E"/>
    <w:rsid w:val="00502E33"/>
    <w:rsid w:val="00520423"/>
    <w:rsid w:val="00523CCC"/>
    <w:rsid w:val="0052564D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11743"/>
    <w:rsid w:val="00620FC6"/>
    <w:rsid w:val="0062286B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80EB0"/>
    <w:rsid w:val="00684F57"/>
    <w:rsid w:val="00690742"/>
    <w:rsid w:val="00695B8D"/>
    <w:rsid w:val="006A27DE"/>
    <w:rsid w:val="006A33FA"/>
    <w:rsid w:val="006A53CA"/>
    <w:rsid w:val="006C16B5"/>
    <w:rsid w:val="006C5C17"/>
    <w:rsid w:val="006C6E29"/>
    <w:rsid w:val="006C6F42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7533"/>
    <w:rsid w:val="00713D77"/>
    <w:rsid w:val="007215CA"/>
    <w:rsid w:val="0072345A"/>
    <w:rsid w:val="007375C4"/>
    <w:rsid w:val="0073766B"/>
    <w:rsid w:val="0073798D"/>
    <w:rsid w:val="00752966"/>
    <w:rsid w:val="0075543A"/>
    <w:rsid w:val="0076035E"/>
    <w:rsid w:val="00761A9B"/>
    <w:rsid w:val="0077338E"/>
    <w:rsid w:val="007811D7"/>
    <w:rsid w:val="007841E2"/>
    <w:rsid w:val="00796ED3"/>
    <w:rsid w:val="007A0A8E"/>
    <w:rsid w:val="007A2967"/>
    <w:rsid w:val="007B5F6A"/>
    <w:rsid w:val="007B6B7A"/>
    <w:rsid w:val="007C5CA2"/>
    <w:rsid w:val="007D66F2"/>
    <w:rsid w:val="007F40CB"/>
    <w:rsid w:val="007F4F92"/>
    <w:rsid w:val="007F5155"/>
    <w:rsid w:val="007F6C56"/>
    <w:rsid w:val="00805A70"/>
    <w:rsid w:val="00805B5D"/>
    <w:rsid w:val="00816172"/>
    <w:rsid w:val="00820852"/>
    <w:rsid w:val="00821850"/>
    <w:rsid w:val="00825965"/>
    <w:rsid w:val="0083194E"/>
    <w:rsid w:val="00833DBD"/>
    <w:rsid w:val="0083410A"/>
    <w:rsid w:val="00842294"/>
    <w:rsid w:val="00842913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02E1"/>
    <w:rsid w:val="008D3FD5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A638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02AE"/>
    <w:rsid w:val="00B2612D"/>
    <w:rsid w:val="00B31BFA"/>
    <w:rsid w:val="00B35B6B"/>
    <w:rsid w:val="00B35F74"/>
    <w:rsid w:val="00B362A3"/>
    <w:rsid w:val="00B4086C"/>
    <w:rsid w:val="00B414D3"/>
    <w:rsid w:val="00B423C2"/>
    <w:rsid w:val="00B53A87"/>
    <w:rsid w:val="00B53B12"/>
    <w:rsid w:val="00B53DB0"/>
    <w:rsid w:val="00B55EB2"/>
    <w:rsid w:val="00B67764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32BF"/>
    <w:rsid w:val="00BC5C9B"/>
    <w:rsid w:val="00BC66F0"/>
    <w:rsid w:val="00BD743E"/>
    <w:rsid w:val="00BE0EF2"/>
    <w:rsid w:val="00BE2E06"/>
    <w:rsid w:val="00BF31FB"/>
    <w:rsid w:val="00BF3BE9"/>
    <w:rsid w:val="00BF6126"/>
    <w:rsid w:val="00BF7708"/>
    <w:rsid w:val="00C0736D"/>
    <w:rsid w:val="00C12C2C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B5FD1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B7246"/>
    <w:rsid w:val="00DC0DD2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02DFF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B4DE7"/>
    <w:rsid w:val="00ED5639"/>
    <w:rsid w:val="00ED6724"/>
    <w:rsid w:val="00EE1139"/>
    <w:rsid w:val="00EE636A"/>
    <w:rsid w:val="00EF1EE0"/>
    <w:rsid w:val="00F07F33"/>
    <w:rsid w:val="00F13B9F"/>
    <w:rsid w:val="00F25496"/>
    <w:rsid w:val="00F264BA"/>
    <w:rsid w:val="00F278C7"/>
    <w:rsid w:val="00F30151"/>
    <w:rsid w:val="00F36550"/>
    <w:rsid w:val="00F3711F"/>
    <w:rsid w:val="00F40C5E"/>
    <w:rsid w:val="00F42C66"/>
    <w:rsid w:val="00F55775"/>
    <w:rsid w:val="00F55DFE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  <w:rsid w:val="188B015F"/>
    <w:rsid w:val="252D40C9"/>
    <w:rsid w:val="50B90058"/>
    <w:rsid w:val="6E11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6F28F3-7488-4A9B-B0F5-791C116A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unhideWhenUsed="1" w:qFormat="1"/>
    <w:lsdException w:name="List Bullet" w:semiHidden="1" w:uiPriority="0" w:qFormat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qFormat/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rPr>
      <w:rFonts w:ascii="Courier New" w:hAnsi="Courier New" w:cs="Courier New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4">
    <w:name w:val="Body Text Indent 2"/>
    <w:basedOn w:val="a"/>
    <w:link w:val="25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="Calibri Light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ind w:firstLine="210"/>
    </w:pPr>
  </w:style>
  <w:style w:type="character" w:styleId="afffc">
    <w:name w:val="Strong"/>
    <w:basedOn w:val="a0"/>
    <w:uiPriority w:val="22"/>
    <w:qFormat/>
    <w:rPr>
      <w:b/>
    </w:rPr>
  </w:style>
  <w:style w:type="character" w:styleId="afffd">
    <w:name w:val="page number"/>
    <w:basedOn w:val="a0"/>
    <w:semiHidden/>
    <w:qFormat/>
  </w:style>
  <w:style w:type="character" w:styleId="afffe">
    <w:name w:val="FollowedHyperlink"/>
    <w:uiPriority w:val="99"/>
    <w:semiHidden/>
    <w:unhideWhenUsed/>
    <w:qFormat/>
    <w:rPr>
      <w:color w:val="954F72"/>
      <w:u w:val="single"/>
    </w:rPr>
  </w:style>
  <w:style w:type="character" w:styleId="affff">
    <w:name w:val="Emphasis"/>
    <w:uiPriority w:val="20"/>
    <w:qFormat/>
    <w:rPr>
      <w:i/>
      <w:iCs/>
    </w:rPr>
  </w:style>
  <w:style w:type="character" w:styleId="affff0">
    <w:name w:val="Hyperlink"/>
    <w:uiPriority w:val="99"/>
    <w:unhideWhenUsed/>
    <w:qFormat/>
    <w:rPr>
      <w:color w:val="0000FF"/>
      <w:u w:val="single"/>
    </w:rPr>
  </w:style>
  <w:style w:type="character" w:styleId="affff1">
    <w:name w:val="annotation reference"/>
    <w:semiHidden/>
    <w:qFormat/>
    <w:rPr>
      <w:sz w:val="16"/>
    </w:rPr>
  </w:style>
  <w:style w:type="character" w:styleId="afff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3">
    <w:name w:val="??"/>
    <w:qFormat/>
    <w:pPr>
      <w:widowControl w:val="0"/>
    </w:pPr>
    <w:rPr>
      <w:rFonts w:eastAsiaTheme="minorEastAsia"/>
      <w:lang w:val="en-GB" w:eastAsia="en-US"/>
    </w:rPr>
  </w:style>
  <w:style w:type="paragraph" w:customStyle="1" w:styleId="2c">
    <w:name w:val="??? 2"/>
    <w:basedOn w:val="affff3"/>
    <w:next w:val="afff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27">
    <w:name w:val="正文文本 2 字符"/>
    <w:basedOn w:val="a0"/>
    <w:link w:val="26"/>
    <w:uiPriority w:val="99"/>
    <w:semiHidden/>
    <w:qFormat/>
  </w:style>
  <w:style w:type="character" w:customStyle="1" w:styleId="35">
    <w:name w:val="正文文本 3 字符"/>
    <w:link w:val="34"/>
    <w:uiPriority w:val="99"/>
    <w:semiHidden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link w:val="37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link w:val="af3"/>
    <w:semiHidden/>
    <w:qFormat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qFormat/>
    <w:rPr>
      <w:rFonts w:ascii="Courier New" w:hAnsi="Courier New" w:cs="Courier New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5">
    <w:name w:val="明显引用 字符"/>
    <w:link w:val="affff4"/>
    <w:uiPriority w:val="30"/>
    <w:qFormat/>
    <w:rPr>
      <w:i/>
      <w:iCs/>
      <w:color w:val="4472C4"/>
    </w:rPr>
  </w:style>
  <w:style w:type="paragraph" w:styleId="affff6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7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9">
    <w:name w:val="引用 字符"/>
    <w:link w:val="affff8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/>
      <w:b/>
      <w:sz w:val="24"/>
      <w:lang w:val="en-CA"/>
    </w:rPr>
  </w:style>
  <w:style w:type="character" w:customStyle="1" w:styleId="NOZchn">
    <w:name w:val="NO Zchn"/>
    <w:link w:val="NO"/>
    <w:qFormat/>
    <w:rPr>
      <w:lang w:val="en-GB" w:eastAsia="en-GB"/>
    </w:rPr>
  </w:style>
  <w:style w:type="paragraph" w:customStyle="1" w:styleId="12">
    <w:name w:val="修订1"/>
    <w:hidden/>
    <w:uiPriority w:val="99"/>
    <w:unhideWhenUsed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326</Words>
  <Characters>1864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liuziqiao</dc:creator>
  <cp:lastModifiedBy>Chunshan Xiong - CATT-169</cp:lastModifiedBy>
  <cp:revision>6</cp:revision>
  <cp:lastPrinted>2002-04-23T13:10:00Z</cp:lastPrinted>
  <dcterms:created xsi:type="dcterms:W3CDTF">2025-04-28T10:25:00Z</dcterms:created>
  <dcterms:modified xsi:type="dcterms:W3CDTF">2025-05-09T20:19:00Z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1743986940</vt:lpwstr>
  </property>
  <property fmtid="{D5CDD505-2E9C-101B-9397-08002B2CF9AE}" pid="8" name="GrammarlyDocumentId">
    <vt:lpwstr>71fa9dc2-f3c5-4335-8e3d-17f958c879aa</vt:lpwstr>
  </property>
</Properties>
</file>